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249E" w14:textId="5891CEA4" w:rsidR="007E05CD" w:rsidRDefault="005A1163" w:rsidP="003A1109">
      <w:pPr>
        <w:spacing w:after="0"/>
        <w:jc w:val="both"/>
        <w:rPr>
          <w:rFonts w:cstheme="minorHAnsi"/>
          <w:b/>
        </w:rPr>
      </w:pPr>
      <w:bookmarkStart w:id="0" w:name="_GoBack"/>
      <w:bookmarkEnd w:id="0"/>
      <w:r>
        <w:rPr>
          <w:rFonts w:cstheme="minorHAnsi"/>
          <w:b/>
        </w:rPr>
        <w:t xml:space="preserve">Blaženka Pospiš Perpar </w:t>
      </w:r>
      <w:r w:rsidR="007E05CD" w:rsidRPr="007E05CD">
        <w:rPr>
          <w:rFonts w:cstheme="minorHAnsi"/>
          <w:b/>
        </w:rPr>
        <w:t>Oskrba s toploto – sistem daljinskega ogrevanja</w:t>
      </w:r>
    </w:p>
    <w:p w14:paraId="6CB14A88" w14:textId="69E922F7" w:rsidR="005A1163" w:rsidRPr="007E05CD" w:rsidRDefault="005A1163" w:rsidP="003A1109">
      <w:pPr>
        <w:spacing w:after="0"/>
        <w:jc w:val="both"/>
        <w:rPr>
          <w:rFonts w:cstheme="minorHAnsi"/>
          <w:b/>
        </w:rPr>
      </w:pPr>
    </w:p>
    <w:p w14:paraId="728250E9" w14:textId="0C66F4C8" w:rsidR="007E05CD" w:rsidRDefault="007E05CD" w:rsidP="003A1109">
      <w:pPr>
        <w:spacing w:after="0"/>
        <w:jc w:val="both"/>
        <w:rPr>
          <w:rFonts w:cstheme="minorHAnsi"/>
        </w:rPr>
      </w:pPr>
    </w:p>
    <w:p w14:paraId="184DA7DB" w14:textId="55558585" w:rsidR="00E046B6" w:rsidRDefault="00D37B44" w:rsidP="003A1109">
      <w:pPr>
        <w:spacing w:after="0"/>
        <w:jc w:val="both"/>
        <w:rPr>
          <w:rFonts w:cstheme="minorHAnsi"/>
        </w:rPr>
      </w:pPr>
      <w:r w:rsidRPr="00D37B44">
        <w:rPr>
          <w:rFonts w:cstheme="minorHAnsi"/>
        </w:rPr>
        <w:t>Oskrba s toploto</w:t>
      </w:r>
      <w:r>
        <w:rPr>
          <w:rFonts w:cstheme="minorHAnsi"/>
        </w:rPr>
        <w:t xml:space="preserve"> po Energetskem zakonu</w:t>
      </w:r>
      <w:r w:rsidRPr="00D37B44">
        <w:rPr>
          <w:rFonts w:cstheme="minorHAnsi"/>
        </w:rPr>
        <w:t xml:space="preserve"> zajema dejavnost distribucije in dobave toplote</w:t>
      </w:r>
      <w:r>
        <w:rPr>
          <w:rFonts w:cstheme="minorHAnsi"/>
        </w:rPr>
        <w:t xml:space="preserve"> in hladu</w:t>
      </w:r>
      <w:r w:rsidRPr="00D37B44">
        <w:rPr>
          <w:rFonts w:cstheme="minorHAnsi"/>
        </w:rPr>
        <w:t>, ki se uporabljata za ogrevanje ali hlajenje prostorov, potrebe industrijskih procesov in za pripravo sanitarne tople vode</w:t>
      </w:r>
      <w:r w:rsidR="00E046B6">
        <w:rPr>
          <w:rFonts w:cstheme="minorHAnsi"/>
        </w:rPr>
        <w:t xml:space="preserve">. </w:t>
      </w:r>
    </w:p>
    <w:p w14:paraId="7B08B2C7" w14:textId="17BF73F5" w:rsidR="00E046B6" w:rsidRDefault="00E046B6" w:rsidP="00CD201F">
      <w:pPr>
        <w:spacing w:after="0"/>
        <w:rPr>
          <w:rFonts w:cstheme="minorHAnsi"/>
        </w:rPr>
      </w:pPr>
    </w:p>
    <w:p w14:paraId="26D034A1" w14:textId="7091ACDB" w:rsidR="00E046B6" w:rsidRDefault="00E046B6" w:rsidP="00397CD5">
      <w:pPr>
        <w:spacing w:after="0"/>
        <w:jc w:val="both"/>
        <w:rPr>
          <w:rFonts w:cstheme="minorHAnsi"/>
        </w:rPr>
      </w:pPr>
      <w:r>
        <w:rPr>
          <w:rFonts w:cstheme="minorHAnsi"/>
        </w:rPr>
        <w:t>Distribucija toplote in hladu pomeni prenos toplote po distribucijskem sistemu. To pomeni, da iz vira toplote to prenašamo do končnih odjemalcev oziroma p</w:t>
      </w:r>
      <w:r w:rsidR="00397CD5">
        <w:rPr>
          <w:rFonts w:cstheme="minorHAnsi"/>
        </w:rPr>
        <w:t xml:space="preserve">orabnikov po distribucijskem sistemu. Vir toplote je </w:t>
      </w:r>
      <w:r>
        <w:rPr>
          <w:rFonts w:cstheme="minorHAnsi"/>
        </w:rPr>
        <w:t>k</w:t>
      </w:r>
      <w:r w:rsidR="00397CD5">
        <w:rPr>
          <w:rFonts w:cstheme="minorHAnsi"/>
        </w:rPr>
        <w:t xml:space="preserve">otlovnica na različne energente, npr. </w:t>
      </w:r>
      <w:r>
        <w:rPr>
          <w:rFonts w:cstheme="minorHAnsi"/>
        </w:rPr>
        <w:t>plin, mazut, ekstra lahko kurilno olje, lesna biomasa</w:t>
      </w:r>
      <w:r w:rsidR="00397CD5">
        <w:rPr>
          <w:rFonts w:cstheme="minorHAnsi"/>
        </w:rPr>
        <w:t>, toplotne črpalke</w:t>
      </w:r>
      <w:r>
        <w:rPr>
          <w:rFonts w:cstheme="minorHAnsi"/>
        </w:rPr>
        <w:t xml:space="preserve">, enota za soproizvodnjo toplote </w:t>
      </w:r>
      <w:r w:rsidR="00397CD5">
        <w:rPr>
          <w:rFonts w:cstheme="minorHAnsi"/>
        </w:rPr>
        <w:t xml:space="preserve">– možna je </w:t>
      </w:r>
      <w:r w:rsidR="00D85204">
        <w:rPr>
          <w:rFonts w:cstheme="minorHAnsi"/>
        </w:rPr>
        <w:t>se</w:t>
      </w:r>
      <w:r w:rsidR="000F67F5">
        <w:rPr>
          <w:rFonts w:cstheme="minorHAnsi"/>
        </w:rPr>
        <w:t xml:space="preserve">veda kombinacija več energentov – vse pa se na koncu seveda gleda skozi ekonomsko računico. Obstajajo parametri, po katerih lahko hitro  ocenimo, kdaj se kakšen sistem izplača ali ne (npr.  pomembna je gostota odjema, torej koliko kWh toplote na meter trase omrežja se porabi, kakšna moč v kW je potrebna ob konicah, </w:t>
      </w:r>
      <w:proofErr w:type="spellStart"/>
      <w:r w:rsidR="000F67F5">
        <w:rPr>
          <w:rFonts w:cstheme="minorHAnsi"/>
        </w:rPr>
        <w:t>itd</w:t>
      </w:r>
      <w:proofErr w:type="spellEnd"/>
      <w:r w:rsidR="000F67F5">
        <w:rPr>
          <w:rFonts w:cstheme="minorHAnsi"/>
        </w:rPr>
        <w:t>).</w:t>
      </w:r>
    </w:p>
    <w:p w14:paraId="42197298" w14:textId="77777777" w:rsidR="00E046B6" w:rsidRDefault="00E046B6" w:rsidP="00CD201F">
      <w:pPr>
        <w:spacing w:after="0"/>
        <w:rPr>
          <w:rFonts w:cstheme="minorHAnsi"/>
        </w:rPr>
      </w:pPr>
    </w:p>
    <w:p w14:paraId="5C67E9C0" w14:textId="6962E6B3" w:rsidR="00CD201F" w:rsidRDefault="00E046B6" w:rsidP="00397CD5">
      <w:pPr>
        <w:spacing w:after="0"/>
        <w:jc w:val="both"/>
        <w:rPr>
          <w:rFonts w:cstheme="minorHAnsi"/>
        </w:rPr>
      </w:pPr>
      <w:r>
        <w:rPr>
          <w:rFonts w:cstheme="minorHAnsi"/>
        </w:rPr>
        <w:t>D</w:t>
      </w:r>
      <w:r w:rsidR="00D37B44" w:rsidRPr="00D37B44">
        <w:rPr>
          <w:rFonts w:cstheme="minorHAnsi"/>
        </w:rPr>
        <w:t>ejavnost distribucije toplote</w:t>
      </w:r>
      <w:r>
        <w:rPr>
          <w:rFonts w:cstheme="minorHAnsi"/>
        </w:rPr>
        <w:t xml:space="preserve"> in hladu</w:t>
      </w:r>
      <w:r w:rsidR="00D37B44" w:rsidRPr="00D37B44">
        <w:rPr>
          <w:rFonts w:cstheme="minorHAnsi"/>
        </w:rPr>
        <w:t xml:space="preserve"> se lahko opravlja v obliki izbirne lokalne  gospodarske javne službe</w:t>
      </w:r>
      <w:r w:rsidR="00252573">
        <w:rPr>
          <w:rFonts w:cstheme="minorHAnsi"/>
        </w:rPr>
        <w:t xml:space="preserve"> (GJS)</w:t>
      </w:r>
      <w:r w:rsidR="00D37B44" w:rsidRPr="00D37B44">
        <w:rPr>
          <w:rFonts w:cstheme="minorHAnsi"/>
        </w:rPr>
        <w:t xml:space="preserve"> ali tržne dejavnosti. Oskrba s toploto se lahko izvaja tudi v obliki lastniških distribucijskih sistemov, katerih značilnost je, da so v celoti v lasti odjemalcev toplote</w:t>
      </w:r>
      <w:r w:rsidR="00397CD5">
        <w:rPr>
          <w:rFonts w:cstheme="minorHAnsi"/>
        </w:rPr>
        <w:t>.</w:t>
      </w:r>
    </w:p>
    <w:p w14:paraId="772A0E4D" w14:textId="77777777" w:rsidR="00A63C79" w:rsidRDefault="00A63C79" w:rsidP="00397CD5">
      <w:pPr>
        <w:spacing w:after="0"/>
        <w:jc w:val="both"/>
        <w:rPr>
          <w:rFonts w:cstheme="minorHAnsi"/>
        </w:rPr>
      </w:pPr>
    </w:p>
    <w:p w14:paraId="6F212B35" w14:textId="1D7166BC" w:rsidR="00A63C79" w:rsidRDefault="00A63C79" w:rsidP="00397CD5">
      <w:pPr>
        <w:spacing w:after="0"/>
        <w:jc w:val="both"/>
        <w:rPr>
          <w:rFonts w:cstheme="minorHAnsi"/>
        </w:rPr>
      </w:pPr>
      <w:r>
        <w:rPr>
          <w:rFonts w:cstheme="minorHAnsi"/>
        </w:rPr>
        <w:t>Izbirno lokalno gospodarsko službo lahko opravlja javno podjetje, ki ga ustanovi občina, lahko pa občina podeli koncesijo na podlagi javnega razpisa privatnemu ali javnemu partnerju.</w:t>
      </w:r>
    </w:p>
    <w:p w14:paraId="227EED1A" w14:textId="7A5AB7C3" w:rsidR="00252573" w:rsidRDefault="00252573" w:rsidP="00397CD5">
      <w:pPr>
        <w:spacing w:after="0"/>
        <w:jc w:val="both"/>
        <w:rPr>
          <w:rFonts w:cstheme="minorHAnsi"/>
        </w:rPr>
      </w:pPr>
    </w:p>
    <w:p w14:paraId="0548B253" w14:textId="7D912226" w:rsidR="00252573" w:rsidRDefault="00252573" w:rsidP="00397CD5">
      <w:pPr>
        <w:spacing w:after="0"/>
        <w:jc w:val="both"/>
        <w:rPr>
          <w:rFonts w:cstheme="minorHAnsi"/>
        </w:rPr>
      </w:pPr>
      <w:r>
        <w:rPr>
          <w:rFonts w:cstheme="minorHAnsi"/>
        </w:rPr>
        <w:t>Tržno dejavnost navadno opravlja zasebno podjetje, pri lastniških sistemih pa je lastnikov sistema več in ti izberejo upravljavca sistema.</w:t>
      </w:r>
    </w:p>
    <w:p w14:paraId="058366E3" w14:textId="74AA1634" w:rsidR="00252573" w:rsidRDefault="00252573" w:rsidP="00397CD5">
      <w:pPr>
        <w:spacing w:after="0"/>
        <w:jc w:val="both"/>
        <w:rPr>
          <w:rFonts w:cstheme="minorHAnsi"/>
        </w:rPr>
      </w:pPr>
    </w:p>
    <w:p w14:paraId="3C22C319" w14:textId="479D2C71" w:rsidR="00EB0407" w:rsidRDefault="00EB0407" w:rsidP="00397CD5">
      <w:pPr>
        <w:spacing w:after="0"/>
        <w:jc w:val="both"/>
        <w:rPr>
          <w:rFonts w:cstheme="minorHAnsi"/>
        </w:rPr>
      </w:pPr>
      <w:r>
        <w:rPr>
          <w:rFonts w:cstheme="minorHAnsi"/>
        </w:rPr>
        <w:t>Način oskrbe s toploto (območja) je predviden v Lokalnem energetskem konceptu.</w:t>
      </w:r>
    </w:p>
    <w:p w14:paraId="0FBE9990" w14:textId="77777777" w:rsidR="00EB0407" w:rsidRDefault="00EB0407" w:rsidP="00397CD5">
      <w:pPr>
        <w:spacing w:after="0"/>
        <w:jc w:val="both"/>
        <w:rPr>
          <w:rFonts w:cstheme="minorHAnsi"/>
        </w:rPr>
      </w:pPr>
    </w:p>
    <w:p w14:paraId="58233EDF" w14:textId="01D06D6E" w:rsidR="00252573" w:rsidRDefault="00252573" w:rsidP="00397CD5">
      <w:pPr>
        <w:spacing w:after="0"/>
        <w:jc w:val="both"/>
        <w:rPr>
          <w:rFonts w:cstheme="minorHAnsi"/>
        </w:rPr>
      </w:pPr>
      <w:r>
        <w:rPr>
          <w:rFonts w:cstheme="minorHAnsi"/>
        </w:rPr>
        <w:t>Značilnosti modelov so prikazane v tabeli:</w:t>
      </w:r>
    </w:p>
    <w:p w14:paraId="3402D028" w14:textId="004E330B" w:rsidR="003A1109" w:rsidRDefault="003A1109" w:rsidP="00397CD5">
      <w:pPr>
        <w:spacing w:after="0"/>
        <w:jc w:val="both"/>
        <w:rPr>
          <w:rFonts w:cstheme="minorHAnsi"/>
        </w:rPr>
      </w:pPr>
      <w:r>
        <w:rPr>
          <w:rFonts w:cstheme="minorHAnsi"/>
        </w:rPr>
        <w:t>(Kratice: DO – daljinsko ogrevanje, DOLB – daljinsko ogrevanje na lesno biomaso)</w:t>
      </w:r>
    </w:p>
    <w:p w14:paraId="74055233" w14:textId="77777777" w:rsidR="00252573" w:rsidRDefault="00252573" w:rsidP="00397CD5">
      <w:pPr>
        <w:spacing w:after="0"/>
        <w:jc w:val="both"/>
        <w:rPr>
          <w:rFonts w:cstheme="minorHAnsi"/>
        </w:rPr>
      </w:pPr>
    </w:p>
    <w:p w14:paraId="29AF5BCE" w14:textId="77777777" w:rsidR="00252573" w:rsidRDefault="00252573" w:rsidP="00252573">
      <w:pPr>
        <w:spacing w:after="0"/>
        <w:rPr>
          <w:rFonts w:cstheme="minorHAnsi"/>
          <w:lang w:eastAsia="sl-SI"/>
        </w:rPr>
      </w:pPr>
      <w:r>
        <w:rPr>
          <w:rFonts w:cstheme="minorHAnsi"/>
          <w:lang w:eastAsia="sl-SI"/>
        </w:rPr>
        <w:t>Možnosti oskrbe z daljinsko toploto:</w:t>
      </w:r>
    </w:p>
    <w:tbl>
      <w:tblPr>
        <w:tblStyle w:val="GridTable1Light-Accent4"/>
        <w:tblW w:w="0" w:type="auto"/>
        <w:tblLook w:val="04A0" w:firstRow="1" w:lastRow="0" w:firstColumn="1" w:lastColumn="0" w:noHBand="0" w:noVBand="1"/>
      </w:tblPr>
      <w:tblGrid>
        <w:gridCol w:w="1192"/>
        <w:gridCol w:w="2347"/>
        <w:gridCol w:w="2126"/>
        <w:gridCol w:w="3397"/>
      </w:tblGrid>
      <w:tr w:rsidR="00252573" w14:paraId="60167690" w14:textId="77777777" w:rsidTr="00AB4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dxa"/>
          </w:tcPr>
          <w:p w14:paraId="4761C893" w14:textId="77777777" w:rsidR="00252573" w:rsidRDefault="00252573" w:rsidP="00AB46A3">
            <w:pPr>
              <w:jc w:val="center"/>
              <w:rPr>
                <w:rFonts w:cstheme="minorHAnsi"/>
                <w:lang w:eastAsia="sl-SI"/>
              </w:rPr>
            </w:pPr>
          </w:p>
        </w:tc>
        <w:tc>
          <w:tcPr>
            <w:tcW w:w="2347" w:type="dxa"/>
          </w:tcPr>
          <w:p w14:paraId="18650366" w14:textId="060160B9" w:rsidR="00252573" w:rsidRDefault="00252573" w:rsidP="00252573">
            <w:pPr>
              <w:jc w:val="center"/>
              <w:cnfStyle w:val="100000000000" w:firstRow="1"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Izbirna lokalna GJS - koncesija</w:t>
            </w:r>
          </w:p>
        </w:tc>
        <w:tc>
          <w:tcPr>
            <w:tcW w:w="2126" w:type="dxa"/>
          </w:tcPr>
          <w:p w14:paraId="1229065E" w14:textId="37FD89F2" w:rsidR="00252573" w:rsidRDefault="00252573" w:rsidP="00252573">
            <w:pPr>
              <w:jc w:val="center"/>
              <w:cnfStyle w:val="100000000000" w:firstRow="1"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Lastniški sistem</w:t>
            </w:r>
          </w:p>
        </w:tc>
        <w:tc>
          <w:tcPr>
            <w:tcW w:w="3397" w:type="dxa"/>
          </w:tcPr>
          <w:p w14:paraId="7478F9DD" w14:textId="14A1C78F" w:rsidR="00252573" w:rsidRDefault="00252573" w:rsidP="00252573">
            <w:pPr>
              <w:jc w:val="center"/>
              <w:cnfStyle w:val="100000000000" w:firstRow="1"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Tržna dejavnost</w:t>
            </w:r>
          </w:p>
        </w:tc>
      </w:tr>
      <w:tr w:rsidR="00252573" w14:paraId="443FDD7F" w14:textId="77777777" w:rsidTr="00AB46A3">
        <w:tc>
          <w:tcPr>
            <w:cnfStyle w:val="001000000000" w:firstRow="0" w:lastRow="0" w:firstColumn="1" w:lastColumn="0" w:oddVBand="0" w:evenVBand="0" w:oddHBand="0" w:evenHBand="0" w:firstRowFirstColumn="0" w:firstRowLastColumn="0" w:lastRowFirstColumn="0" w:lastRowLastColumn="0"/>
            <w:tcW w:w="1192" w:type="dxa"/>
          </w:tcPr>
          <w:p w14:paraId="58CF6613" w14:textId="77777777" w:rsidR="00252573" w:rsidRDefault="00252573" w:rsidP="00AB46A3">
            <w:pPr>
              <w:rPr>
                <w:rFonts w:cstheme="minorHAnsi"/>
                <w:b w:val="0"/>
                <w:lang w:eastAsia="sl-SI"/>
              </w:rPr>
            </w:pPr>
            <w:r>
              <w:rPr>
                <w:rFonts w:cstheme="minorHAnsi"/>
                <w:b w:val="0"/>
                <w:lang w:eastAsia="sl-SI"/>
              </w:rPr>
              <w:t>Razlika med poslovnimi modeli</w:t>
            </w:r>
          </w:p>
        </w:tc>
        <w:tc>
          <w:tcPr>
            <w:tcW w:w="2347" w:type="dxa"/>
          </w:tcPr>
          <w:p w14:paraId="52389C7D" w14:textId="3ADBFDFD" w:rsidR="00252573"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lang w:eastAsia="sl-SI"/>
              </w:rPr>
            </w:pPr>
            <w:r w:rsidRPr="00BA0174">
              <w:rPr>
                <w:rFonts w:cstheme="minorHAnsi"/>
                <w:lang w:eastAsia="sl-SI"/>
              </w:rPr>
              <w:t xml:space="preserve">Lokalna skupnost </w:t>
            </w:r>
            <w:r w:rsidRPr="00BA0174">
              <w:rPr>
                <w:rFonts w:cstheme="minorHAnsi"/>
              </w:rPr>
              <w:t>z</w:t>
            </w:r>
            <w:r w:rsidRPr="00B85430">
              <w:rPr>
                <w:rFonts w:cstheme="minorHAnsi"/>
              </w:rPr>
              <w:t xml:space="preserve"> odlokom podeli distributerju izključno pravico </w:t>
            </w:r>
            <w:r>
              <w:rPr>
                <w:rFonts w:cstheme="minorHAnsi"/>
              </w:rPr>
              <w:t xml:space="preserve">(pooblastilo) </w:t>
            </w:r>
            <w:r w:rsidRPr="00B85430">
              <w:rPr>
                <w:rFonts w:cstheme="minorHAnsi"/>
              </w:rPr>
              <w:t>opravljanja gospodarske javne službe distribucije toplote</w:t>
            </w:r>
            <w:r>
              <w:rPr>
                <w:rFonts w:cstheme="minorHAnsi"/>
              </w:rPr>
              <w:t xml:space="preserve">. </w:t>
            </w:r>
            <w:r w:rsidR="003A1109">
              <w:rPr>
                <w:rFonts w:cstheme="minorHAnsi"/>
              </w:rPr>
              <w:t>Lahko določi obvezno priključevanje na sistem. P</w:t>
            </w:r>
            <w:r>
              <w:rPr>
                <w:rFonts w:cstheme="minorHAnsi"/>
              </w:rPr>
              <w:t xml:space="preserve">renese </w:t>
            </w:r>
            <w:r>
              <w:rPr>
                <w:rFonts w:cstheme="minorHAnsi"/>
                <w:lang w:eastAsia="sl-SI"/>
              </w:rPr>
              <w:t>obveznost</w:t>
            </w:r>
            <w:r w:rsidRPr="00F36BE0">
              <w:rPr>
                <w:rFonts w:cstheme="minorHAnsi"/>
                <w:lang w:eastAsia="sl-SI"/>
              </w:rPr>
              <w:t xml:space="preserve"> razvoja in investicij na </w:t>
            </w:r>
            <w:r>
              <w:rPr>
                <w:rFonts w:cstheme="minorHAnsi"/>
                <w:lang w:eastAsia="sl-SI"/>
              </w:rPr>
              <w:t>zasebnega partnerja, lokalna skupnost pa ohrani lastništvo.</w:t>
            </w:r>
          </w:p>
          <w:p w14:paraId="278BD918" w14:textId="0CD03ED3" w:rsidR="003A1109" w:rsidRPr="00B14F07" w:rsidRDefault="00EB0407" w:rsidP="00EB0407">
            <w:pPr>
              <w:cnfStyle w:val="000000000000" w:firstRow="0" w:lastRow="0" w:firstColumn="0" w:lastColumn="0" w:oddVBand="0" w:evenVBand="0" w:oddHBand="0" w:evenHBand="0" w:firstRowFirstColumn="0" w:firstRowLastColumn="0" w:lastRowFirstColumn="0" w:lastRowLastColumn="0"/>
              <w:rPr>
                <w:rFonts w:cstheme="minorHAnsi"/>
                <w:b/>
                <w:lang w:eastAsia="sl-SI"/>
              </w:rPr>
            </w:pPr>
            <w:r>
              <w:rPr>
                <w:rFonts w:cstheme="minorHAnsi"/>
                <w:lang w:eastAsia="sl-SI"/>
              </w:rPr>
              <w:lastRenderedPageBreak/>
              <w:t>Cene toplote so regulirane*</w:t>
            </w:r>
          </w:p>
        </w:tc>
        <w:tc>
          <w:tcPr>
            <w:tcW w:w="2126" w:type="dxa"/>
          </w:tcPr>
          <w:p w14:paraId="3B1440AA" w14:textId="60E80F85" w:rsidR="00252573" w:rsidRDefault="00252573" w:rsidP="003A1109">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lastRenderedPageBreak/>
              <w:t xml:space="preserve">Zasebni partner </w:t>
            </w:r>
            <w:r>
              <w:rPr>
                <w:rFonts w:cstheme="minorHAnsi"/>
              </w:rPr>
              <w:t xml:space="preserve">upravlja s kotlovnico, katere lastniki so </w:t>
            </w:r>
            <w:r w:rsidR="003A1109">
              <w:rPr>
                <w:rFonts w:cstheme="minorHAnsi"/>
              </w:rPr>
              <w:t xml:space="preserve">lastniki objektov </w:t>
            </w:r>
            <w:r>
              <w:rPr>
                <w:rFonts w:cstheme="minorHAnsi"/>
              </w:rPr>
              <w:t xml:space="preserve">(običajno gre za več lastnikov, lahko ima tudi več </w:t>
            </w:r>
            <w:r w:rsidR="003A1109">
              <w:rPr>
                <w:rFonts w:cstheme="minorHAnsi"/>
              </w:rPr>
              <w:t>objektov</w:t>
            </w:r>
            <w:r>
              <w:rPr>
                <w:rFonts w:cstheme="minorHAnsi"/>
              </w:rPr>
              <w:t xml:space="preserve"> skupno kotlovnico).</w:t>
            </w:r>
            <w:r>
              <w:rPr>
                <w:rFonts w:cstheme="minorHAnsi"/>
                <w:lang w:eastAsia="sl-SI"/>
              </w:rPr>
              <w:t xml:space="preserve"> Kotlovnica ostane v lasti lastnikov, zasebnemu partnerju s pogodbo podelijo pravico do upravljanja in vzdrževanja kotlovnice ter </w:t>
            </w:r>
            <w:r>
              <w:rPr>
                <w:rFonts w:cstheme="minorHAnsi"/>
                <w:lang w:eastAsia="sl-SI"/>
              </w:rPr>
              <w:lastRenderedPageBreak/>
              <w:t xml:space="preserve">dobave toplote. </w:t>
            </w:r>
            <w:r w:rsidR="003A1109">
              <w:rPr>
                <w:rFonts w:cstheme="minorHAnsi"/>
                <w:lang w:eastAsia="sl-SI"/>
              </w:rPr>
              <w:t>Cena toplote je taka, da pokrije vse stroške – navadno se plačuje akontacije in nato sledi po sezoni poračun.</w:t>
            </w:r>
          </w:p>
        </w:tc>
        <w:tc>
          <w:tcPr>
            <w:tcW w:w="3397" w:type="dxa"/>
          </w:tcPr>
          <w:p w14:paraId="13019686" w14:textId="1C20B284" w:rsidR="00252573"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imes New Roman" w:hAnsi="Calibri" w:cs="Calibri"/>
                <w:color w:val="000000"/>
                <w:lang w:eastAsia="sl-SI"/>
              </w:rPr>
              <w:lastRenderedPageBreak/>
              <w:t>Oblika zasebno zasebnega partnerstva, pri kateri zasebni partner zgradi in upravlja kotlovnico za določen čas. Po tem pa upravljanje</w:t>
            </w:r>
            <w:r w:rsidR="003A1109">
              <w:rPr>
                <w:rFonts w:ascii="Calibri" w:eastAsia="Times New Roman" w:hAnsi="Calibri" w:cs="Calibri"/>
                <w:color w:val="000000"/>
                <w:lang w:eastAsia="sl-SI"/>
              </w:rPr>
              <w:t xml:space="preserve"> preide na javnega partnerja</w:t>
            </w:r>
            <w:r>
              <w:rPr>
                <w:rFonts w:ascii="Calibri" w:eastAsia="Times New Roman" w:hAnsi="Calibri" w:cs="Calibri"/>
                <w:color w:val="000000"/>
                <w:lang w:eastAsia="sl-SI"/>
              </w:rPr>
              <w:t>. D</w:t>
            </w:r>
            <w:r w:rsidRPr="00B85430">
              <w:rPr>
                <w:rFonts w:cstheme="minorHAnsi"/>
              </w:rPr>
              <w:t>istribucij</w:t>
            </w:r>
            <w:r>
              <w:rPr>
                <w:rFonts w:cstheme="minorHAnsi"/>
              </w:rPr>
              <w:t>a</w:t>
            </w:r>
            <w:r w:rsidRPr="00B85430">
              <w:rPr>
                <w:rFonts w:cstheme="minorHAnsi"/>
              </w:rPr>
              <w:t xml:space="preserve"> toplote brez </w:t>
            </w:r>
            <w:r>
              <w:rPr>
                <w:rFonts w:cstheme="minorHAnsi"/>
              </w:rPr>
              <w:t>d</w:t>
            </w:r>
            <w:r w:rsidRPr="00B85430">
              <w:rPr>
                <w:rFonts w:cstheme="minorHAnsi"/>
              </w:rPr>
              <w:t xml:space="preserve">oločitve obveznega priključevanja na sistem in brez regulacije cene toplote za ogrevanje. </w:t>
            </w:r>
          </w:p>
          <w:p w14:paraId="3EF84136" w14:textId="65E477E4" w:rsidR="00252573"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 xml:space="preserve">Takšna partnerstva pridejo v poštev takrat, ko občine nimajo interesa podeliti koncesije, se pa z izgradnjo  sistema daljinskega ogrevanja zagotovi zainteresiranim strankam nižjo ceno toplote, kot bi jo imeli, če bi si zgradili lastne vire. </w:t>
            </w:r>
          </w:p>
          <w:p w14:paraId="54EA86BD" w14:textId="6E8C9FE8" w:rsidR="00252573"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lastRenderedPageBreak/>
              <w:t>Pri tem je pogoj Energetskega zakona, da tak sistem ne oskrbuje več kot 100 stanovanj (v tem primeru je potrebna podelitev koncesije)</w:t>
            </w:r>
            <w:r w:rsidR="003A1109">
              <w:rPr>
                <w:rFonts w:cstheme="minorHAnsi"/>
                <w:lang w:eastAsia="sl-SI"/>
              </w:rPr>
              <w:t>. Cena toplote je določena s pogodbo med občino oziroma odjemalci in zasebnikom.</w:t>
            </w:r>
          </w:p>
        </w:tc>
      </w:tr>
      <w:tr w:rsidR="00252573" w14:paraId="220D9ED5" w14:textId="77777777" w:rsidTr="00AB46A3">
        <w:tc>
          <w:tcPr>
            <w:cnfStyle w:val="001000000000" w:firstRow="0" w:lastRow="0" w:firstColumn="1" w:lastColumn="0" w:oddVBand="0" w:evenVBand="0" w:oddHBand="0" w:evenHBand="0" w:firstRowFirstColumn="0" w:firstRowLastColumn="0" w:lastRowFirstColumn="0" w:lastRowLastColumn="0"/>
            <w:tcW w:w="1192" w:type="dxa"/>
          </w:tcPr>
          <w:p w14:paraId="61212CFF" w14:textId="77777777" w:rsidR="00252573" w:rsidRDefault="00252573" w:rsidP="00AB46A3">
            <w:pPr>
              <w:rPr>
                <w:rFonts w:cstheme="minorHAnsi"/>
                <w:b w:val="0"/>
                <w:lang w:eastAsia="sl-SI"/>
              </w:rPr>
            </w:pPr>
            <w:r>
              <w:rPr>
                <w:rFonts w:cstheme="minorHAnsi"/>
                <w:b w:val="0"/>
                <w:lang w:eastAsia="sl-SI"/>
              </w:rPr>
              <w:lastRenderedPageBreak/>
              <w:t>Primeri oskrbe z daljinsko toploto</w:t>
            </w:r>
          </w:p>
        </w:tc>
        <w:tc>
          <w:tcPr>
            <w:tcW w:w="2347" w:type="dxa"/>
          </w:tcPr>
          <w:p w14:paraId="298D0836" w14:textId="20693B52" w:rsidR="00252573" w:rsidRDefault="00252573" w:rsidP="003A1109">
            <w:pPr>
              <w:cnfStyle w:val="000000000000" w:firstRow="0" w:lastRow="0" w:firstColumn="0" w:lastColumn="0" w:oddVBand="0" w:evenVBand="0" w:oddHBand="0" w:evenHBand="0" w:firstRowFirstColumn="0" w:firstRowLastColumn="0" w:lastRowFirstColumn="0" w:lastRowLastColumn="0"/>
              <w:rPr>
                <w:rFonts w:cstheme="minorHAnsi"/>
              </w:rPr>
            </w:pPr>
            <w:r w:rsidRPr="00950F31">
              <w:rPr>
                <w:rFonts w:cstheme="minorHAnsi"/>
              </w:rPr>
              <w:t>DOLB Bohinjska Bistrica</w:t>
            </w:r>
            <w:r>
              <w:rPr>
                <w:rFonts w:cstheme="minorHAnsi"/>
              </w:rPr>
              <w:t xml:space="preserve"> </w:t>
            </w:r>
            <w:r w:rsidRPr="00950F31">
              <w:rPr>
                <w:rFonts w:cstheme="minorHAnsi"/>
              </w:rPr>
              <w:t xml:space="preserve">DOLB Ribnica, </w:t>
            </w:r>
            <w:r w:rsidR="003A1109">
              <w:rPr>
                <w:rFonts w:cstheme="minorHAnsi"/>
              </w:rPr>
              <w:t xml:space="preserve">DO Kamnik, </w:t>
            </w:r>
            <w:r w:rsidR="00EB0407">
              <w:rPr>
                <w:rFonts w:cstheme="minorHAnsi"/>
              </w:rPr>
              <w:t>DOLB Vransko, DOLB Železniki.</w:t>
            </w:r>
          </w:p>
          <w:p w14:paraId="00157CC1" w14:textId="77777777" w:rsidR="00EB0407" w:rsidRDefault="00EB0407" w:rsidP="003A1109">
            <w:pPr>
              <w:cnfStyle w:val="000000000000" w:firstRow="0" w:lastRow="0" w:firstColumn="0" w:lastColumn="0" w:oddVBand="0" w:evenVBand="0" w:oddHBand="0" w:evenHBand="0" w:firstRowFirstColumn="0" w:firstRowLastColumn="0" w:lastRowFirstColumn="0" w:lastRowLastColumn="0"/>
              <w:rPr>
                <w:rFonts w:cstheme="minorHAnsi"/>
              </w:rPr>
            </w:pPr>
          </w:p>
          <w:p w14:paraId="02E88E05" w14:textId="3401451E" w:rsidR="003A1109" w:rsidRPr="00950F31" w:rsidRDefault="003A1109" w:rsidP="00AB46A3">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rPr>
              <w:t>Če naštejemo še nekaj Javnih podjetij, ki izvajajo oskrbo s toploto kot GJS: Energetika Ljubljana, Energetika Maribor, Energetika Celje…</w:t>
            </w:r>
          </w:p>
          <w:p w14:paraId="2280D7F6" w14:textId="77777777" w:rsidR="00252573" w:rsidRPr="00950F31"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b/>
                <w:lang w:eastAsia="sl-SI"/>
              </w:rPr>
            </w:pPr>
          </w:p>
        </w:tc>
        <w:tc>
          <w:tcPr>
            <w:tcW w:w="2126" w:type="dxa"/>
          </w:tcPr>
          <w:p w14:paraId="3E6E5DFE" w14:textId="3652BAFA" w:rsidR="00EB0407" w:rsidRDefault="00EB0407" w:rsidP="003A1109">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Sistem DO Planina Kranj,</w:t>
            </w:r>
          </w:p>
          <w:p w14:paraId="43E9B1C3" w14:textId="1EDBCA63" w:rsidR="00252573" w:rsidRPr="00950F31" w:rsidRDefault="00252573" w:rsidP="00EB0407">
            <w:pPr>
              <w:cnfStyle w:val="000000000000" w:firstRow="0" w:lastRow="0" w:firstColumn="0" w:lastColumn="0" w:oddVBand="0" w:evenVBand="0" w:oddHBand="0" w:evenHBand="0" w:firstRowFirstColumn="0" w:firstRowLastColumn="0" w:lastRowFirstColumn="0" w:lastRowLastColumn="0"/>
              <w:rPr>
                <w:rFonts w:cstheme="minorHAnsi"/>
                <w:lang w:eastAsia="sl-SI"/>
              </w:rPr>
            </w:pPr>
            <w:r>
              <w:rPr>
                <w:rFonts w:cstheme="minorHAnsi"/>
                <w:lang w:eastAsia="sl-SI"/>
              </w:rPr>
              <w:t xml:space="preserve">DOLB Postojna, </w:t>
            </w:r>
            <w:r w:rsidRPr="00950F31">
              <w:rPr>
                <w:rFonts w:cstheme="minorHAnsi"/>
              </w:rPr>
              <w:t xml:space="preserve">DO Pobrežje Maribor DOLB Mojstrana, DO Hrušica Jesenice, </w:t>
            </w:r>
          </w:p>
        </w:tc>
        <w:tc>
          <w:tcPr>
            <w:tcW w:w="3397" w:type="dxa"/>
          </w:tcPr>
          <w:p w14:paraId="775564EC" w14:textId="24DBE77A" w:rsidR="00252573" w:rsidRPr="00950F31" w:rsidRDefault="00252573" w:rsidP="00AB46A3">
            <w:pPr>
              <w:cnfStyle w:val="000000000000" w:firstRow="0" w:lastRow="0" w:firstColumn="0" w:lastColumn="0" w:oddVBand="0" w:evenVBand="0" w:oddHBand="0" w:evenHBand="0" w:firstRowFirstColumn="0" w:firstRowLastColumn="0" w:lastRowFirstColumn="0" w:lastRowLastColumn="0"/>
              <w:rPr>
                <w:rFonts w:cstheme="minorHAnsi"/>
                <w:lang w:eastAsia="sl-SI"/>
              </w:rPr>
            </w:pPr>
            <w:r w:rsidRPr="00950F31">
              <w:rPr>
                <w:rFonts w:cstheme="minorHAnsi"/>
              </w:rPr>
              <w:t>DOLB Kranjska gora, DO Bled, DO Kamnik,</w:t>
            </w:r>
            <w:r w:rsidR="00EB0407">
              <w:rPr>
                <w:rFonts w:cstheme="minorHAnsi"/>
              </w:rPr>
              <w:t>…</w:t>
            </w:r>
          </w:p>
        </w:tc>
      </w:tr>
    </w:tbl>
    <w:p w14:paraId="5F1231F0" w14:textId="77777777" w:rsidR="00EB0407" w:rsidRDefault="00EB0407" w:rsidP="00EB0407">
      <w:pPr>
        <w:spacing w:after="0"/>
        <w:jc w:val="both"/>
        <w:rPr>
          <w:rFonts w:cstheme="minorHAnsi"/>
        </w:rPr>
      </w:pPr>
    </w:p>
    <w:p w14:paraId="2A8EC4DE" w14:textId="0AD9297E" w:rsidR="00252573" w:rsidRDefault="00EB0407" w:rsidP="00EB0407">
      <w:pPr>
        <w:spacing w:after="0"/>
        <w:jc w:val="both"/>
        <w:rPr>
          <w:rFonts w:cstheme="minorHAnsi"/>
          <w:lang w:eastAsia="sl-SI"/>
        </w:rPr>
      </w:pPr>
      <w:r>
        <w:rPr>
          <w:rFonts w:cstheme="minorHAnsi"/>
        </w:rPr>
        <w:t>V sistem daljinskega ogrevanja se l</w:t>
      </w:r>
      <w:r>
        <w:rPr>
          <w:rFonts w:cstheme="minorHAnsi"/>
          <w:lang w:eastAsia="sl-SI"/>
        </w:rPr>
        <w:t>ahko</w:t>
      </w:r>
      <w:r w:rsidR="00A63C79" w:rsidRPr="00EB0407">
        <w:rPr>
          <w:rFonts w:cstheme="minorHAnsi"/>
          <w:lang w:eastAsia="sl-SI"/>
        </w:rPr>
        <w:t xml:space="preserve"> povezujejo istovrstni objekti (npr. šolski objekti, tak primer je v Občini Ivančna Gorica), lahko povežejo industrijo, komercialne objekte (npr. hoteli, trgovski centri</w:t>
      </w:r>
      <w:r w:rsidR="00252573" w:rsidRPr="00EB0407">
        <w:rPr>
          <w:rFonts w:cstheme="minorHAnsi"/>
          <w:lang w:eastAsia="sl-SI"/>
        </w:rPr>
        <w:t xml:space="preserve"> in javni objekti- </w:t>
      </w:r>
      <w:r w:rsidR="00A63C79" w:rsidRPr="00EB0407">
        <w:rPr>
          <w:rFonts w:cstheme="minorHAnsi"/>
          <w:lang w:eastAsia="sl-SI"/>
        </w:rPr>
        <w:t>primer npr. Občine Bled), lahko pa tudi kombinacijo vseh</w:t>
      </w:r>
      <w:r>
        <w:rPr>
          <w:rFonts w:cstheme="minorHAnsi"/>
          <w:lang w:eastAsia="sl-SI"/>
        </w:rPr>
        <w:t xml:space="preserve">, kar je </w:t>
      </w:r>
      <w:r w:rsidR="00A63C79" w:rsidRPr="00EB0407">
        <w:rPr>
          <w:rFonts w:cstheme="minorHAnsi"/>
          <w:lang w:eastAsia="sl-SI"/>
        </w:rPr>
        <w:t xml:space="preserve"> večina</w:t>
      </w:r>
      <w:r w:rsidR="00252573" w:rsidRPr="00EB0407">
        <w:rPr>
          <w:rFonts w:cstheme="minorHAnsi"/>
          <w:lang w:eastAsia="sl-SI"/>
        </w:rPr>
        <w:t xml:space="preserve"> vseh</w:t>
      </w:r>
      <w:r w:rsidR="00A63C79" w:rsidRPr="00EB0407">
        <w:rPr>
          <w:rFonts w:cstheme="minorHAnsi"/>
          <w:lang w:eastAsia="sl-SI"/>
        </w:rPr>
        <w:t xml:space="preserve"> </w:t>
      </w:r>
      <w:r>
        <w:rPr>
          <w:rFonts w:cstheme="minorHAnsi"/>
          <w:lang w:eastAsia="sl-SI"/>
        </w:rPr>
        <w:t>sistemov.</w:t>
      </w:r>
      <w:r w:rsidR="00D85204">
        <w:rPr>
          <w:rFonts w:cstheme="minorHAnsi"/>
          <w:lang w:eastAsia="sl-SI"/>
        </w:rPr>
        <w:t xml:space="preserve"> Večji kot je sistem, bolj je smiselno »pametno« upravljanje in </w:t>
      </w:r>
      <w:r w:rsidR="000F67F5">
        <w:rPr>
          <w:rFonts w:cstheme="minorHAnsi"/>
          <w:lang w:eastAsia="sl-SI"/>
        </w:rPr>
        <w:t xml:space="preserve">posledično </w:t>
      </w:r>
      <w:r w:rsidR="00D85204">
        <w:rPr>
          <w:rFonts w:cstheme="minorHAnsi"/>
          <w:lang w:eastAsia="sl-SI"/>
        </w:rPr>
        <w:t>zmanjševanje toplotnih izgub.</w:t>
      </w:r>
    </w:p>
    <w:p w14:paraId="1B836A07" w14:textId="1B8751C2" w:rsidR="00EB0407" w:rsidRDefault="00EB0407" w:rsidP="00EB0407">
      <w:pPr>
        <w:spacing w:after="0"/>
        <w:jc w:val="both"/>
        <w:rPr>
          <w:rFonts w:cstheme="minorHAnsi"/>
          <w:lang w:eastAsia="sl-SI"/>
        </w:rPr>
      </w:pPr>
    </w:p>
    <w:p w14:paraId="757EE34C" w14:textId="64E84620" w:rsidR="000F0226" w:rsidRDefault="00EB0407" w:rsidP="00EB0407">
      <w:pPr>
        <w:spacing w:after="0"/>
        <w:jc w:val="both"/>
        <w:rPr>
          <w:rFonts w:cstheme="minorHAnsi"/>
          <w:lang w:eastAsia="sl-SI"/>
        </w:rPr>
      </w:pPr>
      <w:r>
        <w:rPr>
          <w:rFonts w:cstheme="minorHAnsi"/>
          <w:lang w:eastAsia="sl-SI"/>
        </w:rPr>
        <w:t>*Cene toplote iz sistemov DO so v primeru izvajanja izbirne GJS regulirane. To pomeni, da jih mora koncesionar ali javno podjetje prijaviti na Agencijo za energijo, ki določi maksimalne cene. Koncesionar mora znižati ceno ob znižanju cene energentov in jih lahko poveča, če se cene energentov povečajo.</w:t>
      </w:r>
      <w:r w:rsidR="000F0226">
        <w:rPr>
          <w:rFonts w:cstheme="minorHAnsi"/>
          <w:lang w:eastAsia="sl-SI"/>
        </w:rPr>
        <w:t xml:space="preserve"> Na straneh Agencije za energijo lahko najdete primerjavo med cenami v posameznih sistemi</w:t>
      </w:r>
      <w:r w:rsidR="00100B48">
        <w:rPr>
          <w:rFonts w:cstheme="minorHAnsi"/>
          <w:lang w:eastAsia="sl-SI"/>
        </w:rPr>
        <w:t>h DO po posameznih letih, pošiljam v prilogi za 2019.</w:t>
      </w:r>
    </w:p>
    <w:p w14:paraId="3DD73110" w14:textId="6343CDE5" w:rsidR="00100B48" w:rsidRDefault="00100B48" w:rsidP="00EB0407">
      <w:pPr>
        <w:spacing w:after="0"/>
        <w:jc w:val="both"/>
        <w:rPr>
          <w:rFonts w:cstheme="minorHAnsi"/>
          <w:lang w:eastAsia="sl-SI"/>
        </w:rPr>
      </w:pPr>
    </w:p>
    <w:p w14:paraId="3B3EAEAC" w14:textId="6F9A3A33" w:rsidR="007E05CD" w:rsidRDefault="007E05CD" w:rsidP="00EB0407">
      <w:pPr>
        <w:spacing w:after="0"/>
        <w:jc w:val="both"/>
        <w:rPr>
          <w:rFonts w:cstheme="minorHAnsi"/>
          <w:lang w:eastAsia="sl-SI"/>
        </w:rPr>
      </w:pPr>
      <w:r>
        <w:rPr>
          <w:rFonts w:cstheme="minorHAnsi"/>
          <w:lang w:eastAsia="sl-SI"/>
        </w:rPr>
        <w:t>Kar se tiče dobave lesne biomase v</w:t>
      </w:r>
      <w:r w:rsidR="000F67F5">
        <w:rPr>
          <w:rFonts w:cstheme="minorHAnsi"/>
          <w:lang w:eastAsia="sl-SI"/>
        </w:rPr>
        <w:t xml:space="preserve"> </w:t>
      </w:r>
      <w:r>
        <w:rPr>
          <w:rFonts w:cstheme="minorHAnsi"/>
          <w:lang w:eastAsia="sl-SI"/>
        </w:rPr>
        <w:t>sistemih</w:t>
      </w:r>
      <w:r w:rsidR="000F67F5">
        <w:rPr>
          <w:rFonts w:cstheme="minorHAnsi"/>
          <w:lang w:eastAsia="sl-SI"/>
        </w:rPr>
        <w:t xml:space="preserve"> daljinskega ogrevanja na lesno biomaso</w:t>
      </w:r>
      <w:r>
        <w:rPr>
          <w:rFonts w:cstheme="minorHAnsi"/>
          <w:lang w:eastAsia="sl-SI"/>
        </w:rPr>
        <w:t xml:space="preserve">: </w:t>
      </w:r>
      <w:r w:rsidR="004F1444">
        <w:rPr>
          <w:rFonts w:cstheme="minorHAnsi"/>
          <w:lang w:eastAsia="sl-SI"/>
        </w:rPr>
        <w:t>to je posebno poglavje, o izkušnjah bi lahko govorila precej časa. Zelo na kratko: obstaja nekaj močnih dobaviteljev v Sloveniji, ki so zanesljivi, temu ustrezna je cena. Da se najti tudi lokalne dobavitelje, problem je skladiščenje in z njim povezana kakovost (vlaga v materialu). Material iz lesno predelovalne industrije je večinoma z večletnimi pogodbami prodan v tujino, kjer se dosežejo višje cene.</w:t>
      </w:r>
    </w:p>
    <w:p w14:paraId="0AB7A93F" w14:textId="42E48CF6" w:rsidR="000F67F5" w:rsidRDefault="000F67F5" w:rsidP="00EB0407">
      <w:pPr>
        <w:spacing w:after="0"/>
        <w:jc w:val="both"/>
        <w:rPr>
          <w:rFonts w:cstheme="minorHAnsi"/>
          <w:lang w:eastAsia="sl-SI"/>
        </w:rPr>
      </w:pPr>
    </w:p>
    <w:p w14:paraId="55008040" w14:textId="444321AF" w:rsidR="000F67F5" w:rsidRDefault="000F67F5" w:rsidP="00EB0407">
      <w:pPr>
        <w:spacing w:after="0"/>
        <w:jc w:val="both"/>
        <w:rPr>
          <w:rFonts w:cstheme="minorHAnsi"/>
          <w:lang w:eastAsia="sl-SI"/>
        </w:rPr>
      </w:pPr>
      <w:r>
        <w:rPr>
          <w:rFonts w:cstheme="minorHAnsi"/>
          <w:lang w:eastAsia="sl-SI"/>
        </w:rPr>
        <w:t>Še nekaj o subvencijah: zaenkrat se še da se dobiti subvencijo za izgradnjo sistema (kotlovnico in omrežje, tudi toplotne postaje), navadno jo pridobi koncesionar.</w:t>
      </w:r>
    </w:p>
    <w:p w14:paraId="5E701548" w14:textId="77777777" w:rsidR="000F67F5" w:rsidRDefault="000F67F5" w:rsidP="00EB0407">
      <w:pPr>
        <w:spacing w:after="0"/>
        <w:jc w:val="both"/>
        <w:rPr>
          <w:rFonts w:cstheme="minorHAnsi"/>
          <w:lang w:eastAsia="sl-SI"/>
        </w:rPr>
      </w:pPr>
    </w:p>
    <w:p w14:paraId="11B4E1B6" w14:textId="77777777" w:rsidR="007E05CD" w:rsidRDefault="007E05CD" w:rsidP="00EB0407">
      <w:pPr>
        <w:spacing w:after="0"/>
        <w:jc w:val="both"/>
        <w:rPr>
          <w:rFonts w:cstheme="minorHAnsi"/>
          <w:lang w:eastAsia="sl-SI"/>
        </w:rPr>
      </w:pPr>
    </w:p>
    <w:p w14:paraId="254CD254" w14:textId="3600FC09" w:rsidR="007E05CD" w:rsidRDefault="007E05CD" w:rsidP="007E05CD">
      <w:pPr>
        <w:rPr>
          <w:rFonts w:cstheme="minorHAnsi"/>
          <w:lang w:eastAsia="sl-SI"/>
        </w:rPr>
      </w:pPr>
      <w:r>
        <w:rPr>
          <w:rFonts w:cstheme="minorHAnsi"/>
          <w:lang w:eastAsia="sl-SI"/>
        </w:rPr>
        <w:t>Drugo poglavje pa je projekt energetske skupnosti Luče. Kot ste že sami ugotovili, gre za študijski – pilotni projekt, podprt z več nepovratnimi sredstvi. Zato je treba predvsem pogledati, kaj se lahko iz tega naučimo oziroma kaj od doseženega bo zanimivo tudi brez subvenciji oziroma se bo dalo narediti brez njih.</w:t>
      </w:r>
    </w:p>
    <w:p w14:paraId="466C1D32" w14:textId="3AA9F5F0" w:rsidR="007E05CD" w:rsidRDefault="007E05CD" w:rsidP="00EB0407">
      <w:pPr>
        <w:spacing w:after="0"/>
        <w:jc w:val="both"/>
        <w:rPr>
          <w:rFonts w:cstheme="minorHAnsi"/>
          <w:lang w:eastAsia="sl-SI"/>
        </w:rPr>
      </w:pPr>
      <w:r>
        <w:rPr>
          <w:rFonts w:cstheme="minorHAnsi"/>
          <w:lang w:eastAsia="sl-SI"/>
        </w:rPr>
        <w:t>Več o tem si lahko preberete na strani:</w:t>
      </w:r>
    </w:p>
    <w:p w14:paraId="5286EC4A" w14:textId="10EEBADA" w:rsidR="000F0226" w:rsidRDefault="009B17FF" w:rsidP="00EB0407">
      <w:pPr>
        <w:spacing w:after="0"/>
        <w:jc w:val="both"/>
        <w:rPr>
          <w:rFonts w:cstheme="minorHAnsi"/>
          <w:lang w:eastAsia="sl-SI"/>
        </w:rPr>
      </w:pPr>
      <w:hyperlink r:id="rId7" w:history="1">
        <w:r w:rsidR="007E05CD" w:rsidRPr="007E05CD">
          <w:rPr>
            <w:rStyle w:val="Hyperlink"/>
            <w:rFonts w:cstheme="minorHAnsi"/>
            <w:lang w:eastAsia="sl-SI"/>
          </w:rPr>
          <w:t>https://www.petrol.si/znanje-in-podpora/2019/clanki/prva-lokalna-energetska-skupnost-v-lucah-z-obnovljivimi-viri-energije-do-proznega-in-konkurencnega-energetskega-sistema.html</w:t>
        </w:r>
      </w:hyperlink>
    </w:p>
    <w:sectPr w:rsidR="000F02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C632" w14:textId="77777777" w:rsidR="009B17FF" w:rsidRDefault="009B17FF" w:rsidP="007E05CD">
      <w:pPr>
        <w:spacing w:after="0" w:line="240" w:lineRule="auto"/>
      </w:pPr>
      <w:r>
        <w:separator/>
      </w:r>
    </w:p>
  </w:endnote>
  <w:endnote w:type="continuationSeparator" w:id="0">
    <w:p w14:paraId="5EE9DC34" w14:textId="77777777" w:rsidR="009B17FF" w:rsidRDefault="009B17FF" w:rsidP="007E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2CE8" w14:textId="77777777" w:rsidR="007E05CD" w:rsidRDefault="007E0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6F16" w14:textId="77777777" w:rsidR="007E05CD" w:rsidRDefault="007E0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2E2D" w14:textId="77777777" w:rsidR="007E05CD" w:rsidRDefault="007E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B1BC" w14:textId="77777777" w:rsidR="009B17FF" w:rsidRDefault="009B17FF" w:rsidP="007E05CD">
      <w:pPr>
        <w:spacing w:after="0" w:line="240" w:lineRule="auto"/>
      </w:pPr>
      <w:r>
        <w:separator/>
      </w:r>
    </w:p>
  </w:footnote>
  <w:footnote w:type="continuationSeparator" w:id="0">
    <w:p w14:paraId="3A9C5573" w14:textId="77777777" w:rsidR="009B17FF" w:rsidRDefault="009B17FF" w:rsidP="007E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96B3" w14:textId="77777777" w:rsidR="007E05CD" w:rsidRDefault="007E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A71E" w14:textId="77777777" w:rsidR="007E05CD" w:rsidRDefault="007E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0A64" w14:textId="77777777" w:rsidR="007E05CD" w:rsidRDefault="007E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D1F"/>
    <w:multiLevelType w:val="multilevel"/>
    <w:tmpl w:val="7D6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56DA"/>
    <w:multiLevelType w:val="hybridMultilevel"/>
    <w:tmpl w:val="4A40ED28"/>
    <w:lvl w:ilvl="0" w:tplc="A858D3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B96435"/>
    <w:multiLevelType w:val="hybridMultilevel"/>
    <w:tmpl w:val="C7C8CE64"/>
    <w:lvl w:ilvl="0" w:tplc="0016BE8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E02C97"/>
    <w:multiLevelType w:val="hybridMultilevel"/>
    <w:tmpl w:val="A3D0D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E772EC"/>
    <w:multiLevelType w:val="hybridMultilevel"/>
    <w:tmpl w:val="E4620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F26A9B"/>
    <w:multiLevelType w:val="hybridMultilevel"/>
    <w:tmpl w:val="37644A9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6F23A9"/>
    <w:multiLevelType w:val="hybridMultilevel"/>
    <w:tmpl w:val="8892E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C5025F"/>
    <w:multiLevelType w:val="hybridMultilevel"/>
    <w:tmpl w:val="F7947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3E4B46"/>
    <w:multiLevelType w:val="hybridMultilevel"/>
    <w:tmpl w:val="5C7C86B6"/>
    <w:lvl w:ilvl="0" w:tplc="6DFAA682">
      <w:start w:val="6"/>
      <w:numFmt w:val="bullet"/>
      <w:lvlText w:val="-"/>
      <w:lvlJc w:val="left"/>
      <w:pPr>
        <w:tabs>
          <w:tab w:val="num" w:pos="910"/>
        </w:tabs>
        <w:ind w:left="910" w:hanging="360"/>
      </w:pPr>
      <w:rPr>
        <w:rFonts w:ascii="Arial Narrow" w:eastAsia="Times New Roman" w:hAnsi="Arial Narrow" w:cs="Arial" w:hint="default"/>
      </w:rPr>
    </w:lvl>
    <w:lvl w:ilvl="1" w:tplc="04240003" w:tentative="1">
      <w:start w:val="1"/>
      <w:numFmt w:val="bullet"/>
      <w:lvlText w:val="o"/>
      <w:lvlJc w:val="left"/>
      <w:pPr>
        <w:tabs>
          <w:tab w:val="num" w:pos="1630"/>
        </w:tabs>
        <w:ind w:left="1630" w:hanging="360"/>
      </w:pPr>
      <w:rPr>
        <w:rFonts w:ascii="Courier New" w:hAnsi="Courier New" w:hint="default"/>
      </w:rPr>
    </w:lvl>
    <w:lvl w:ilvl="2" w:tplc="04240005" w:tentative="1">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9" w15:restartNumberingAfterBreak="0">
    <w:nsid w:val="3D8C7200"/>
    <w:multiLevelType w:val="hybridMultilevel"/>
    <w:tmpl w:val="B96AC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6D6242"/>
    <w:multiLevelType w:val="hybridMultilevel"/>
    <w:tmpl w:val="EBD87EB2"/>
    <w:lvl w:ilvl="0" w:tplc="055E3CD4">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D15C0F"/>
    <w:multiLevelType w:val="hybridMultilevel"/>
    <w:tmpl w:val="E1EE0650"/>
    <w:lvl w:ilvl="0" w:tplc="94782CD2">
      <w:start w:val="1"/>
      <w:numFmt w:val="upp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2" w15:restartNumberingAfterBreak="0">
    <w:nsid w:val="55A01151"/>
    <w:multiLevelType w:val="hybridMultilevel"/>
    <w:tmpl w:val="1278F020"/>
    <w:lvl w:ilvl="0" w:tplc="A858D3B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3F1730"/>
    <w:multiLevelType w:val="hybridMultilevel"/>
    <w:tmpl w:val="C31A3306"/>
    <w:lvl w:ilvl="0" w:tplc="04240001">
      <w:start w:val="1"/>
      <w:numFmt w:val="bullet"/>
      <w:lvlText w:val=""/>
      <w:lvlJc w:val="left"/>
      <w:pPr>
        <w:ind w:left="720" w:hanging="360"/>
      </w:pPr>
      <w:rPr>
        <w:rFonts w:ascii="Symbol" w:hAnsi="Symbol" w:hint="default"/>
      </w:rPr>
    </w:lvl>
    <w:lvl w:ilvl="1" w:tplc="B6DA74E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04523E"/>
    <w:multiLevelType w:val="hybridMultilevel"/>
    <w:tmpl w:val="B1BC1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D15740"/>
    <w:multiLevelType w:val="hybridMultilevel"/>
    <w:tmpl w:val="0966F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3"/>
  </w:num>
  <w:num w:numId="5">
    <w:abstractNumId w:val="9"/>
  </w:num>
  <w:num w:numId="6">
    <w:abstractNumId w:val="3"/>
  </w:num>
  <w:num w:numId="7">
    <w:abstractNumId w:val="6"/>
  </w:num>
  <w:num w:numId="8">
    <w:abstractNumId w:val="15"/>
  </w:num>
  <w:num w:numId="9">
    <w:abstractNumId w:val="14"/>
  </w:num>
  <w:num w:numId="10">
    <w:abstractNumId w:val="7"/>
  </w:num>
  <w:num w:numId="11">
    <w:abstractNumId w:val="5"/>
  </w:num>
  <w:num w:numId="12">
    <w:abstractNumId w:val="10"/>
  </w:num>
  <w:num w:numId="13">
    <w:abstractNumId w:val="4"/>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F9"/>
    <w:rsid w:val="000041B3"/>
    <w:rsid w:val="00026FC3"/>
    <w:rsid w:val="000417AA"/>
    <w:rsid w:val="00085644"/>
    <w:rsid w:val="000B7AD9"/>
    <w:rsid w:val="000F0226"/>
    <w:rsid w:val="000F1EF1"/>
    <w:rsid w:val="000F3EBB"/>
    <w:rsid w:val="000F5BBF"/>
    <w:rsid w:val="000F67F5"/>
    <w:rsid w:val="00100B48"/>
    <w:rsid w:val="0010516C"/>
    <w:rsid w:val="00105D38"/>
    <w:rsid w:val="001209A9"/>
    <w:rsid w:val="0013144C"/>
    <w:rsid w:val="001568BC"/>
    <w:rsid w:val="00163C34"/>
    <w:rsid w:val="00195F9B"/>
    <w:rsid w:val="001C0FE6"/>
    <w:rsid w:val="001D13B8"/>
    <w:rsid w:val="00201519"/>
    <w:rsid w:val="002301BB"/>
    <w:rsid w:val="00252573"/>
    <w:rsid w:val="00283665"/>
    <w:rsid w:val="002936F4"/>
    <w:rsid w:val="00294882"/>
    <w:rsid w:val="002B4009"/>
    <w:rsid w:val="002C36B9"/>
    <w:rsid w:val="002E2F77"/>
    <w:rsid w:val="00335C65"/>
    <w:rsid w:val="0035549B"/>
    <w:rsid w:val="00397CD5"/>
    <w:rsid w:val="003A1109"/>
    <w:rsid w:val="003A27CC"/>
    <w:rsid w:val="003C2976"/>
    <w:rsid w:val="003E2348"/>
    <w:rsid w:val="003E745A"/>
    <w:rsid w:val="004012AC"/>
    <w:rsid w:val="00401927"/>
    <w:rsid w:val="00453C3A"/>
    <w:rsid w:val="004550D8"/>
    <w:rsid w:val="00466BAE"/>
    <w:rsid w:val="00490FC1"/>
    <w:rsid w:val="0049338B"/>
    <w:rsid w:val="00497219"/>
    <w:rsid w:val="004E2D03"/>
    <w:rsid w:val="004F1444"/>
    <w:rsid w:val="00505252"/>
    <w:rsid w:val="00514FE6"/>
    <w:rsid w:val="00517EE4"/>
    <w:rsid w:val="00567196"/>
    <w:rsid w:val="00567CF8"/>
    <w:rsid w:val="00597D7D"/>
    <w:rsid w:val="005A1163"/>
    <w:rsid w:val="005A1B18"/>
    <w:rsid w:val="005D4C4D"/>
    <w:rsid w:val="005F29DB"/>
    <w:rsid w:val="00623C20"/>
    <w:rsid w:val="006468E2"/>
    <w:rsid w:val="006556F5"/>
    <w:rsid w:val="00665DA6"/>
    <w:rsid w:val="00681526"/>
    <w:rsid w:val="00695D7B"/>
    <w:rsid w:val="006A0B7A"/>
    <w:rsid w:val="006B6BC5"/>
    <w:rsid w:val="006D274A"/>
    <w:rsid w:val="006E48EC"/>
    <w:rsid w:val="006F440D"/>
    <w:rsid w:val="00734BAD"/>
    <w:rsid w:val="00746E47"/>
    <w:rsid w:val="00756504"/>
    <w:rsid w:val="0079240D"/>
    <w:rsid w:val="007E05CD"/>
    <w:rsid w:val="007E39A7"/>
    <w:rsid w:val="007E4183"/>
    <w:rsid w:val="007F3BAA"/>
    <w:rsid w:val="008272CA"/>
    <w:rsid w:val="00886CCA"/>
    <w:rsid w:val="008938A4"/>
    <w:rsid w:val="0089547C"/>
    <w:rsid w:val="00916175"/>
    <w:rsid w:val="00950B0B"/>
    <w:rsid w:val="00950F31"/>
    <w:rsid w:val="00950F49"/>
    <w:rsid w:val="00951B4A"/>
    <w:rsid w:val="00970C71"/>
    <w:rsid w:val="009A6F21"/>
    <w:rsid w:val="009B17FF"/>
    <w:rsid w:val="009E7F01"/>
    <w:rsid w:val="00A02DCD"/>
    <w:rsid w:val="00A17116"/>
    <w:rsid w:val="00A20667"/>
    <w:rsid w:val="00A332E8"/>
    <w:rsid w:val="00A63C79"/>
    <w:rsid w:val="00AB1C71"/>
    <w:rsid w:val="00AE3F33"/>
    <w:rsid w:val="00B006F3"/>
    <w:rsid w:val="00B14F07"/>
    <w:rsid w:val="00B269B3"/>
    <w:rsid w:val="00B574E3"/>
    <w:rsid w:val="00B71BB8"/>
    <w:rsid w:val="00B85430"/>
    <w:rsid w:val="00BA0174"/>
    <w:rsid w:val="00BA2501"/>
    <w:rsid w:val="00BE77E2"/>
    <w:rsid w:val="00C052AD"/>
    <w:rsid w:val="00C51F02"/>
    <w:rsid w:val="00C550E0"/>
    <w:rsid w:val="00C766A4"/>
    <w:rsid w:val="00CA5E58"/>
    <w:rsid w:val="00CC5B1C"/>
    <w:rsid w:val="00CD030E"/>
    <w:rsid w:val="00CD201F"/>
    <w:rsid w:val="00CF07F8"/>
    <w:rsid w:val="00CF5223"/>
    <w:rsid w:val="00D37B44"/>
    <w:rsid w:val="00D71284"/>
    <w:rsid w:val="00D85204"/>
    <w:rsid w:val="00DA1F35"/>
    <w:rsid w:val="00DB0EDC"/>
    <w:rsid w:val="00DD296F"/>
    <w:rsid w:val="00DD6ECA"/>
    <w:rsid w:val="00DD752E"/>
    <w:rsid w:val="00DF1791"/>
    <w:rsid w:val="00E02D13"/>
    <w:rsid w:val="00E046B6"/>
    <w:rsid w:val="00E1687A"/>
    <w:rsid w:val="00E365B5"/>
    <w:rsid w:val="00E76056"/>
    <w:rsid w:val="00E86CF9"/>
    <w:rsid w:val="00EB0407"/>
    <w:rsid w:val="00EB30D6"/>
    <w:rsid w:val="00EF44B2"/>
    <w:rsid w:val="00F03D76"/>
    <w:rsid w:val="00F36BE0"/>
    <w:rsid w:val="00F44C01"/>
    <w:rsid w:val="00F95538"/>
    <w:rsid w:val="00FC7840"/>
    <w:rsid w:val="00FE2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4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6CF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CF9"/>
    <w:rPr>
      <w:rFonts w:ascii="Times New Roman" w:eastAsia="Times New Roman" w:hAnsi="Times New Roman" w:cs="Times New Roman"/>
      <w:b/>
      <w:bCs/>
      <w:sz w:val="36"/>
      <w:szCs w:val="36"/>
      <w:lang w:eastAsia="sl-SI"/>
    </w:rPr>
  </w:style>
  <w:style w:type="paragraph" w:customStyle="1" w:styleId="rtejustify">
    <w:name w:val="rtejustify"/>
    <w:basedOn w:val="Normal"/>
    <w:rsid w:val="00E86CF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9A6F21"/>
    <w:rPr>
      <w:color w:val="0563C1" w:themeColor="hyperlink"/>
      <w:u w:val="single"/>
    </w:rPr>
  </w:style>
  <w:style w:type="table" w:styleId="TableGridLight">
    <w:name w:val="Grid Table Light"/>
    <w:basedOn w:val="TableNormal"/>
    <w:uiPriority w:val="40"/>
    <w:rsid w:val="009A6F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2">
    <w:name w:val="Pa12"/>
    <w:basedOn w:val="Normal"/>
    <w:next w:val="Normal"/>
    <w:uiPriority w:val="99"/>
    <w:rsid w:val="0049338B"/>
    <w:pPr>
      <w:autoSpaceDE w:val="0"/>
      <w:autoSpaceDN w:val="0"/>
      <w:adjustRightInd w:val="0"/>
      <w:spacing w:after="0" w:line="181" w:lineRule="atLeast"/>
    </w:pPr>
    <w:rPr>
      <w:rFonts w:ascii="HelveticaNeueLT Pro 45 Lt" w:eastAsia="Calibri" w:hAnsi="HelveticaNeueLT Pro 45 Lt" w:cs="Times New Roman"/>
      <w:sz w:val="24"/>
      <w:szCs w:val="24"/>
    </w:rPr>
  </w:style>
  <w:style w:type="paragraph" w:styleId="ListParagraph">
    <w:name w:val="List Paragraph"/>
    <w:basedOn w:val="Normal"/>
    <w:uiPriority w:val="34"/>
    <w:qFormat/>
    <w:rsid w:val="0049338B"/>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2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C3"/>
    <w:rPr>
      <w:rFonts w:ascii="Segoe UI" w:hAnsi="Segoe UI" w:cs="Segoe UI"/>
      <w:sz w:val="18"/>
      <w:szCs w:val="18"/>
    </w:rPr>
  </w:style>
  <w:style w:type="character" w:customStyle="1" w:styleId="Nerazreenaomemba1">
    <w:name w:val="Nerazrešena omemba1"/>
    <w:basedOn w:val="DefaultParagraphFont"/>
    <w:uiPriority w:val="99"/>
    <w:semiHidden/>
    <w:unhideWhenUsed/>
    <w:rsid w:val="008938A4"/>
    <w:rPr>
      <w:color w:val="808080"/>
      <w:shd w:val="clear" w:color="auto" w:fill="E6E6E6"/>
    </w:rPr>
  </w:style>
  <w:style w:type="table" w:styleId="TableGrid">
    <w:name w:val="Table Grid"/>
    <w:basedOn w:val="TableNormal"/>
    <w:uiPriority w:val="39"/>
    <w:rsid w:val="0095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51B4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144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E77E2"/>
    <w:rPr>
      <w:sz w:val="16"/>
      <w:szCs w:val="16"/>
    </w:rPr>
  </w:style>
  <w:style w:type="paragraph" w:styleId="CommentText">
    <w:name w:val="annotation text"/>
    <w:basedOn w:val="Normal"/>
    <w:link w:val="CommentTextChar"/>
    <w:uiPriority w:val="99"/>
    <w:semiHidden/>
    <w:unhideWhenUsed/>
    <w:rsid w:val="00BE77E2"/>
    <w:pPr>
      <w:spacing w:line="240" w:lineRule="auto"/>
    </w:pPr>
    <w:rPr>
      <w:sz w:val="20"/>
      <w:szCs w:val="20"/>
    </w:rPr>
  </w:style>
  <w:style w:type="character" w:customStyle="1" w:styleId="CommentTextChar">
    <w:name w:val="Comment Text Char"/>
    <w:basedOn w:val="DefaultParagraphFont"/>
    <w:link w:val="CommentText"/>
    <w:uiPriority w:val="99"/>
    <w:semiHidden/>
    <w:rsid w:val="00BE77E2"/>
    <w:rPr>
      <w:sz w:val="20"/>
      <w:szCs w:val="20"/>
    </w:rPr>
  </w:style>
  <w:style w:type="paragraph" w:styleId="CommentSubject">
    <w:name w:val="annotation subject"/>
    <w:basedOn w:val="CommentText"/>
    <w:next w:val="CommentText"/>
    <w:link w:val="CommentSubjectChar"/>
    <w:uiPriority w:val="99"/>
    <w:semiHidden/>
    <w:unhideWhenUsed/>
    <w:rsid w:val="00BE77E2"/>
    <w:rPr>
      <w:b/>
      <w:bCs/>
    </w:rPr>
  </w:style>
  <w:style w:type="character" w:customStyle="1" w:styleId="CommentSubjectChar">
    <w:name w:val="Comment Subject Char"/>
    <w:basedOn w:val="CommentTextChar"/>
    <w:link w:val="CommentSubject"/>
    <w:uiPriority w:val="99"/>
    <w:semiHidden/>
    <w:rsid w:val="00BE77E2"/>
    <w:rPr>
      <w:b/>
      <w:bCs/>
      <w:sz w:val="20"/>
      <w:szCs w:val="20"/>
    </w:rPr>
  </w:style>
  <w:style w:type="table" w:styleId="PlainTable4">
    <w:name w:val="Plain Table 4"/>
    <w:basedOn w:val="TableNormal"/>
    <w:uiPriority w:val="44"/>
    <w:rsid w:val="00F36B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4">
    <w:name w:val="List Table 2 Accent 4"/>
    <w:basedOn w:val="TableNormal"/>
    <w:uiPriority w:val="47"/>
    <w:rsid w:val="00F36BE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E0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5CD"/>
  </w:style>
  <w:style w:type="paragraph" w:styleId="Footer">
    <w:name w:val="footer"/>
    <w:basedOn w:val="Normal"/>
    <w:link w:val="FooterChar"/>
    <w:uiPriority w:val="99"/>
    <w:unhideWhenUsed/>
    <w:rsid w:val="007E0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05CD"/>
  </w:style>
  <w:style w:type="character" w:styleId="FollowedHyperlink">
    <w:name w:val="FollowedHyperlink"/>
    <w:basedOn w:val="DefaultParagraphFont"/>
    <w:uiPriority w:val="99"/>
    <w:semiHidden/>
    <w:unhideWhenUsed/>
    <w:rsid w:val="000F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0331">
      <w:bodyDiv w:val="1"/>
      <w:marLeft w:val="0"/>
      <w:marRight w:val="0"/>
      <w:marTop w:val="0"/>
      <w:marBottom w:val="0"/>
      <w:divBdr>
        <w:top w:val="none" w:sz="0" w:space="0" w:color="auto"/>
        <w:left w:val="none" w:sz="0" w:space="0" w:color="auto"/>
        <w:bottom w:val="none" w:sz="0" w:space="0" w:color="auto"/>
        <w:right w:val="none" w:sz="0" w:space="0" w:color="auto"/>
      </w:divBdr>
    </w:div>
    <w:div w:id="97331729">
      <w:bodyDiv w:val="1"/>
      <w:marLeft w:val="0"/>
      <w:marRight w:val="0"/>
      <w:marTop w:val="0"/>
      <w:marBottom w:val="0"/>
      <w:divBdr>
        <w:top w:val="none" w:sz="0" w:space="0" w:color="auto"/>
        <w:left w:val="none" w:sz="0" w:space="0" w:color="auto"/>
        <w:bottom w:val="none" w:sz="0" w:space="0" w:color="auto"/>
        <w:right w:val="none" w:sz="0" w:space="0" w:color="auto"/>
      </w:divBdr>
    </w:div>
    <w:div w:id="801190994">
      <w:bodyDiv w:val="1"/>
      <w:marLeft w:val="0"/>
      <w:marRight w:val="0"/>
      <w:marTop w:val="0"/>
      <w:marBottom w:val="0"/>
      <w:divBdr>
        <w:top w:val="none" w:sz="0" w:space="0" w:color="auto"/>
        <w:left w:val="none" w:sz="0" w:space="0" w:color="auto"/>
        <w:bottom w:val="none" w:sz="0" w:space="0" w:color="auto"/>
        <w:right w:val="none" w:sz="0" w:space="0" w:color="auto"/>
      </w:divBdr>
    </w:div>
    <w:div w:id="21469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etrol.si/znanje-in-podpora/2019/clanki/prva-lokalna-energetska-skupnost-v-lucah-z-obnovljivimi-viri-energije-do-proznega-in-konkurencnega-energetskega-sistem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2020-12-14T11:45:00Z</dcterms:created>
  <dcterms:modified xsi:type="dcterms:W3CDTF">2020-12-14T11:45:00Z</dcterms:modified>
</cp:coreProperties>
</file>